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6"/>
        <w:jc w:val="left"/>
        <w:rPr>
          <w:rFonts w:ascii="Times New Roman"/>
          <w:sz w:val="25"/>
        </w:rPr>
      </w:pPr>
    </w:p>
    <w:p>
      <w:pPr>
        <w:pStyle w:val="Heading1"/>
        <w:spacing w:after="17"/>
        <w:rPr>
          <w:u w:val="none"/>
        </w:rPr>
      </w:pPr>
      <w:r>
        <w:rPr/>
        <w:pict>
          <v:group style="position:absolute;margin-left:35.999699pt;margin-top:-72.190697pt;width:195.9pt;height:64.95pt;mso-position-horizontal-relative:page;mso-position-vertical-relative:paragraph;z-index:251660288" coordorigin="720,-1444" coordsize="3918,1299">
            <v:shape style="position:absolute;left:720;top:-1444;width:3918;height:1299" type="#_x0000_t75" stroked="false">
              <v:imagedata r:id="rId5" o:title=""/>
            </v:shape>
            <v:shapetype id="_x0000_t202" o:spt="202" coordsize="21600,21600" path="m,l,21600r21600,l21600,xe">
              <v:stroke joinstyle="miter"/>
              <v:path gradientshapeok="t" o:connecttype="rect"/>
            </v:shapetype>
            <v:shape style="position:absolute;left:720;top:-1444;width:3918;height:1299" type="#_x0000_t202" filled="false" stroked="false">
              <v:textbox inset="0,0,0,0">
                <w:txbxContent>
                  <w:p>
                    <w:pPr>
                      <w:spacing w:line="240" w:lineRule="auto" w:before="0"/>
                      <w:rPr>
                        <w:sz w:val="18"/>
                      </w:rPr>
                    </w:pPr>
                  </w:p>
                  <w:p>
                    <w:pPr>
                      <w:spacing w:line="240" w:lineRule="auto" w:before="0"/>
                      <w:rPr>
                        <w:sz w:val="18"/>
                      </w:rPr>
                    </w:pPr>
                  </w:p>
                  <w:p>
                    <w:pPr>
                      <w:spacing w:line="240" w:lineRule="auto" w:before="4"/>
                      <w:rPr>
                        <w:sz w:val="16"/>
                      </w:rPr>
                    </w:pPr>
                  </w:p>
                  <w:p>
                    <w:pPr>
                      <w:spacing w:line="220" w:lineRule="auto" w:before="0"/>
                      <w:ind w:left="462" w:right="1549" w:firstLine="0"/>
                      <w:jc w:val="left"/>
                      <w:rPr>
                        <w:sz w:val="14"/>
                      </w:rPr>
                    </w:pPr>
                    <w:r>
                      <w:rPr>
                        <w:rFonts w:ascii="Helvetica Neue"/>
                        <w:b/>
                        <w:color w:val="FFFFFF"/>
                        <w:w w:val="105"/>
                        <w:sz w:val="16"/>
                      </w:rPr>
                      <w:t>National Employment &amp; Disability Survey: </w:t>
                    </w:r>
                    <w:r>
                      <w:rPr>
                        <w:color w:val="FFFFFF"/>
                        <w:w w:val="105"/>
                        <w:sz w:val="14"/>
                      </w:rPr>
                      <w:t>Recent College Graduates</w:t>
                    </w:r>
                  </w:p>
                </w:txbxContent>
              </v:textbox>
              <w10:wrap type="none"/>
            </v:shape>
            <w10:wrap type="none"/>
          </v:group>
        </w:pict>
      </w:r>
      <w:r>
        <w:rPr/>
        <w:pict>
          <v:group style="position:absolute;margin-left:264.777008pt;margin-top:-62.830795pt;width:347.25pt;height:54pt;mso-position-horizontal-relative:page;mso-position-vertical-relative:paragraph;z-index:251662336" coordorigin="5296,-1257" coordsize="6945,1080">
            <v:shape style="position:absolute;left:5295;top:-1257;width:6945;height:1080" type="#_x0000_t75" stroked="false">
              <v:imagedata r:id="rId6" o:title=""/>
            </v:shape>
            <v:shape style="position:absolute;left:5295;top:-1257;width:6945;height:1080" type="#_x0000_t202" filled="false" stroked="false">
              <v:textbox inset="0,0,0,0">
                <w:txbxContent>
                  <w:p>
                    <w:pPr>
                      <w:spacing w:before="242"/>
                      <w:ind w:left="1227" w:right="0" w:firstLine="0"/>
                      <w:jc w:val="left"/>
                      <w:rPr>
                        <w:sz w:val="40"/>
                      </w:rPr>
                    </w:pPr>
                    <w:r>
                      <w:rPr>
                        <w:color w:val="FFFFFF"/>
                        <w:sz w:val="40"/>
                      </w:rPr>
                      <w:t>MEET OUR EXPERTS</w:t>
                    </w:r>
                  </w:p>
                </w:txbxContent>
              </v:textbox>
              <w10:wrap type="none"/>
            </v:shape>
            <w10:wrap type="none"/>
          </v:group>
        </w:pict>
      </w:r>
      <w:r>
        <w:rPr/>
        <w:pict>
          <v:shape style="position:absolute;margin-left:42.117611pt;margin-top:-36.214748pt;width:18.1pt;height:25.6pt;mso-position-horizontal-relative:page;mso-position-vertical-relative:paragraph;z-index:251676672" type="#_x0000_t202" filled="false" stroked="false">
            <v:textbox inset="0,0,0,0" style="layout-flow:vertical;mso-layout-flow-alt:bottom-to-top">
              <w:txbxContent>
                <w:p>
                  <w:pPr>
                    <w:spacing w:before="12"/>
                    <w:ind w:left="20" w:right="0" w:firstLine="0"/>
                    <w:jc w:val="left"/>
                    <w:rPr>
                      <w:rFonts w:ascii="Helvetica Neue"/>
                      <w:b/>
                      <w:sz w:val="27"/>
                    </w:rPr>
                  </w:pPr>
                  <w:r>
                    <w:rPr>
                      <w:rFonts w:ascii="Helvetica Neue"/>
                      <w:b/>
                      <w:color w:val="FFFFFF"/>
                      <w:w w:val="80"/>
                      <w:sz w:val="27"/>
                    </w:rPr>
                    <w:t>2020</w:t>
                  </w:r>
                </w:p>
              </w:txbxContent>
            </v:textbox>
            <w10:wrap type="none"/>
          </v:shape>
        </w:pict>
      </w:r>
      <w:r>
        <w:rPr>
          <w:color w:val="231F20"/>
          <w:w w:val="90"/>
          <w:u w:val="none"/>
        </w:rPr>
        <w:t>KESSLER FOUNDATION</w:t>
      </w:r>
    </w:p>
    <w:p>
      <w:pPr>
        <w:pStyle w:val="BodyText"/>
        <w:spacing w:line="20" w:lineRule="exact"/>
        <w:ind w:left="115"/>
        <w:jc w:val="left"/>
        <w:rPr>
          <w:sz w:val="2"/>
        </w:rPr>
      </w:pPr>
      <w:r>
        <w:rPr>
          <w:sz w:val="2"/>
        </w:rPr>
        <w:pict>
          <v:group style="width:540.25pt;height:.25pt;mso-position-horizontal-relative:char;mso-position-vertical-relative:line" coordorigin="0,0" coordsize="10805,5">
            <v:line style="position:absolute" from="0,3" to="10804,3" stroked="true" strokeweight=".25pt" strokecolor="#231f20">
              <v:stroke dashstyle="solid"/>
            </v:line>
          </v:group>
        </w:pict>
      </w:r>
      <w:r>
        <w:rPr>
          <w:sz w:val="2"/>
        </w:rPr>
      </w:r>
    </w:p>
    <w:p>
      <w:pPr>
        <w:pStyle w:val="Heading2"/>
        <w:spacing w:line="223" w:lineRule="exact" w:before="25"/>
        <w:ind w:left="1678"/>
      </w:pPr>
      <w:r>
        <w:rPr/>
        <w:drawing>
          <wp:anchor distT="0" distB="0" distL="0" distR="0" allowOverlap="1" layoutInCell="1" locked="0" behindDoc="0" simplePos="0" relativeHeight="251672576">
            <wp:simplePos x="0" y="0"/>
            <wp:positionH relativeFrom="page">
              <wp:posOffset>462280</wp:posOffset>
            </wp:positionH>
            <wp:positionV relativeFrom="paragraph">
              <wp:posOffset>50588</wp:posOffset>
            </wp:positionV>
            <wp:extent cx="914400" cy="1143000"/>
            <wp:effectExtent l="0" t="0" r="0" b="0"/>
            <wp:wrapNone/>
            <wp:docPr id="1" name="image3.jpeg"/>
            <wp:cNvGraphicFramePr>
              <a:graphicFrameLocks noChangeAspect="1"/>
            </wp:cNvGraphicFramePr>
            <a:graphic>
              <a:graphicData uri="http://schemas.openxmlformats.org/drawingml/2006/picture">
                <pic:pic>
                  <pic:nvPicPr>
                    <pic:cNvPr id="2" name="image3.jpeg"/>
                    <pic:cNvPicPr/>
                  </pic:nvPicPr>
                  <pic:blipFill>
                    <a:blip r:embed="rId7" cstate="print"/>
                    <a:stretch>
                      <a:fillRect/>
                    </a:stretch>
                  </pic:blipFill>
                  <pic:spPr>
                    <a:xfrm>
                      <a:off x="0" y="0"/>
                      <a:ext cx="914400" cy="1143000"/>
                    </a:xfrm>
                    <a:prstGeom prst="rect">
                      <a:avLst/>
                    </a:prstGeom>
                  </pic:spPr>
                </pic:pic>
              </a:graphicData>
            </a:graphic>
          </wp:anchor>
        </w:drawing>
      </w:r>
      <w:r>
        <w:rPr>
          <w:color w:val="231F20"/>
        </w:rPr>
        <w:t>Rodger DeRose</w:t>
      </w:r>
    </w:p>
    <w:p>
      <w:pPr>
        <w:spacing w:line="223" w:lineRule="exact" w:before="0"/>
        <w:ind w:left="1678" w:right="0" w:firstLine="0"/>
        <w:jc w:val="left"/>
        <w:rPr>
          <w:b/>
          <w:sz w:val="18"/>
        </w:rPr>
      </w:pPr>
      <w:r>
        <w:rPr>
          <w:b/>
          <w:color w:val="231F20"/>
          <w:sz w:val="18"/>
        </w:rPr>
        <w:t>President &amp; Chief Executive Officer</w:t>
      </w:r>
    </w:p>
    <w:p>
      <w:pPr>
        <w:pStyle w:val="BodyText"/>
        <w:spacing w:line="187" w:lineRule="auto" w:before="165"/>
        <w:ind w:left="1678" w:right="729"/>
      </w:pPr>
      <w:r>
        <w:rPr>
          <w:color w:val="231F20"/>
        </w:rPr>
        <w:t>Rodger DeRose oversees the strategic direction of Kessler Foundation, widely recognized for improving the lives of people</w:t>
      </w:r>
      <w:r>
        <w:rPr>
          <w:color w:val="231F20"/>
          <w:spacing w:val="-17"/>
        </w:rPr>
        <w:t> </w:t>
      </w:r>
      <w:r>
        <w:rPr>
          <w:color w:val="231F20"/>
        </w:rPr>
        <w:t>with</w:t>
      </w:r>
      <w:r>
        <w:rPr>
          <w:color w:val="231F20"/>
          <w:spacing w:val="-16"/>
        </w:rPr>
        <w:t> </w:t>
      </w:r>
      <w:r>
        <w:rPr>
          <w:color w:val="231F20"/>
        </w:rPr>
        <w:t>disabilities</w:t>
      </w:r>
      <w:r>
        <w:rPr>
          <w:color w:val="231F20"/>
          <w:spacing w:val="-17"/>
        </w:rPr>
        <w:t> </w:t>
      </w:r>
      <w:r>
        <w:rPr>
          <w:color w:val="231F20"/>
        </w:rPr>
        <w:t>through</w:t>
      </w:r>
      <w:r>
        <w:rPr>
          <w:color w:val="231F20"/>
          <w:spacing w:val="-16"/>
        </w:rPr>
        <w:t> </w:t>
      </w:r>
      <w:r>
        <w:rPr>
          <w:color w:val="231F20"/>
        </w:rPr>
        <w:t>innovation</w:t>
      </w:r>
      <w:r>
        <w:rPr>
          <w:color w:val="231F20"/>
          <w:spacing w:val="-17"/>
        </w:rPr>
        <w:t> </w:t>
      </w:r>
      <w:r>
        <w:rPr>
          <w:color w:val="231F20"/>
        </w:rPr>
        <w:t>in</w:t>
      </w:r>
      <w:r>
        <w:rPr>
          <w:color w:val="231F20"/>
          <w:spacing w:val="-16"/>
        </w:rPr>
        <w:t> </w:t>
      </w:r>
      <w:r>
        <w:rPr>
          <w:color w:val="231F20"/>
        </w:rPr>
        <w:t>medical</w:t>
      </w:r>
      <w:r>
        <w:rPr>
          <w:color w:val="231F20"/>
          <w:spacing w:val="-16"/>
        </w:rPr>
        <w:t> </w:t>
      </w:r>
      <w:r>
        <w:rPr>
          <w:color w:val="231F20"/>
        </w:rPr>
        <w:t>rehabilitation</w:t>
      </w:r>
      <w:r>
        <w:rPr>
          <w:color w:val="231F20"/>
          <w:spacing w:val="-17"/>
        </w:rPr>
        <w:t> </w:t>
      </w:r>
      <w:r>
        <w:rPr>
          <w:color w:val="231F20"/>
        </w:rPr>
        <w:t>research,</w:t>
      </w:r>
      <w:r>
        <w:rPr>
          <w:color w:val="231F20"/>
          <w:spacing w:val="-16"/>
        </w:rPr>
        <w:t> </w:t>
      </w:r>
      <w:r>
        <w:rPr>
          <w:color w:val="231F20"/>
        </w:rPr>
        <w:t>and</w:t>
      </w:r>
      <w:r>
        <w:rPr>
          <w:color w:val="231F20"/>
          <w:spacing w:val="-17"/>
        </w:rPr>
        <w:t> </w:t>
      </w:r>
      <w:r>
        <w:rPr>
          <w:color w:val="231F20"/>
        </w:rPr>
        <w:t>its</w:t>
      </w:r>
      <w:r>
        <w:rPr>
          <w:color w:val="231F20"/>
          <w:spacing w:val="-16"/>
        </w:rPr>
        <w:t> </w:t>
      </w:r>
      <w:r>
        <w:rPr>
          <w:color w:val="231F20"/>
        </w:rPr>
        <w:t>commitment</w:t>
      </w:r>
      <w:r>
        <w:rPr>
          <w:color w:val="231F20"/>
          <w:spacing w:val="-16"/>
        </w:rPr>
        <w:t> </w:t>
      </w:r>
      <w:r>
        <w:rPr>
          <w:color w:val="231F20"/>
        </w:rPr>
        <w:t>to</w:t>
      </w:r>
      <w:r>
        <w:rPr>
          <w:color w:val="231F20"/>
          <w:spacing w:val="-17"/>
        </w:rPr>
        <w:t> </w:t>
      </w:r>
      <w:r>
        <w:rPr>
          <w:color w:val="231F20"/>
        </w:rPr>
        <w:t>funding</w:t>
      </w:r>
      <w:r>
        <w:rPr>
          <w:color w:val="231F20"/>
          <w:spacing w:val="-16"/>
        </w:rPr>
        <w:t> </w:t>
      </w:r>
      <w:r>
        <w:rPr>
          <w:color w:val="231F20"/>
        </w:rPr>
        <w:t>programs that expand employment opportunities. Under his leadership, the Foundation has made strategic investments in innovative technology and expanded partnerships and collaborations, resulting in awards of more than $70 million in external grant funding from government and private agencies. Since 2012, the Foundation has been recognized annually with state and national awards for workplace</w:t>
      </w:r>
      <w:r>
        <w:rPr>
          <w:color w:val="231F20"/>
          <w:spacing w:val="-5"/>
        </w:rPr>
        <w:t> </w:t>
      </w:r>
      <w:r>
        <w:rPr>
          <w:color w:val="231F20"/>
        </w:rPr>
        <w:t>excellence.</w:t>
      </w:r>
    </w:p>
    <w:p>
      <w:pPr>
        <w:pStyle w:val="BodyText"/>
        <w:spacing w:line="187" w:lineRule="auto" w:before="177"/>
        <w:ind w:left="140" w:right="727" w:firstLine="1538"/>
      </w:pPr>
      <w:r>
        <w:rPr>
          <w:color w:val="231F20"/>
        </w:rPr>
        <w:t>DeRose has 30 years of experience in the for-profit sector, first working as senior marketing executive at SC Johnson before becoming partner and chief operating officer for Arthur Andersen’s Technology Software Division. In 2001, he went on to serve as president and CEO of the Crohn’s &amp; Colitis Foundation of America. DeRose currently serves on the board of the Perlman Music Program NY and Suncoast Program, and is often sought after by media for his expertise in organizational management and leadership.</w:t>
      </w:r>
    </w:p>
    <w:p>
      <w:pPr>
        <w:pStyle w:val="BodyText"/>
        <w:spacing w:before="7"/>
        <w:jc w:val="left"/>
        <w:rPr>
          <w:sz w:val="13"/>
        </w:rPr>
      </w:pPr>
    </w:p>
    <w:p>
      <w:pPr>
        <w:spacing w:after="0"/>
        <w:jc w:val="left"/>
        <w:rPr>
          <w:sz w:val="13"/>
        </w:rPr>
        <w:sectPr>
          <w:type w:val="continuous"/>
          <w:pgSz w:w="12240" w:h="15840"/>
          <w:pgMar w:top="720" w:bottom="0" w:left="580" w:right="0"/>
        </w:sectPr>
      </w:pPr>
    </w:p>
    <w:p>
      <w:pPr>
        <w:pStyle w:val="Heading2"/>
        <w:spacing w:line="196" w:lineRule="auto" w:before="135"/>
        <w:ind w:right="809"/>
      </w:pPr>
      <w:r>
        <w:rPr/>
        <w:drawing>
          <wp:anchor distT="0" distB="0" distL="0" distR="0" allowOverlap="1" layoutInCell="1" locked="0" behindDoc="0" simplePos="0" relativeHeight="251671552">
            <wp:simplePos x="0" y="0"/>
            <wp:positionH relativeFrom="page">
              <wp:posOffset>457200</wp:posOffset>
            </wp:positionH>
            <wp:positionV relativeFrom="paragraph">
              <wp:posOffset>98448</wp:posOffset>
            </wp:positionV>
            <wp:extent cx="914400" cy="1142999"/>
            <wp:effectExtent l="0" t="0" r="0" b="0"/>
            <wp:wrapNone/>
            <wp:docPr id="3" name="image4.jpeg"/>
            <wp:cNvGraphicFramePr>
              <a:graphicFrameLocks noChangeAspect="1"/>
            </wp:cNvGraphicFramePr>
            <a:graphic>
              <a:graphicData uri="http://schemas.openxmlformats.org/drawingml/2006/picture">
                <pic:pic>
                  <pic:nvPicPr>
                    <pic:cNvPr id="4" name="image4.jpeg"/>
                    <pic:cNvPicPr/>
                  </pic:nvPicPr>
                  <pic:blipFill>
                    <a:blip r:embed="rId8" cstate="print"/>
                    <a:stretch>
                      <a:fillRect/>
                    </a:stretch>
                  </pic:blipFill>
                  <pic:spPr>
                    <a:xfrm>
                      <a:off x="0" y="0"/>
                      <a:ext cx="914400" cy="1142999"/>
                    </a:xfrm>
                    <a:prstGeom prst="rect">
                      <a:avLst/>
                    </a:prstGeom>
                  </pic:spPr>
                </pic:pic>
              </a:graphicData>
            </a:graphic>
          </wp:anchor>
        </w:drawing>
      </w:r>
      <w:r>
        <w:rPr>
          <w:color w:val="231F20"/>
        </w:rPr>
        <w:t>Elaine E. Katz, MS, CCC-SLP Senior VP, Center for Grants and Communication</w:t>
      </w:r>
    </w:p>
    <w:p>
      <w:pPr>
        <w:pStyle w:val="BodyText"/>
        <w:spacing w:line="204" w:lineRule="auto" w:before="198"/>
        <w:ind w:left="1670" w:right="39"/>
      </w:pPr>
      <w:r>
        <w:rPr>
          <w:color w:val="231F20"/>
        </w:rPr>
        <w:t>Elaine Katz oversees Kessler Foundation’s comprehensive grant making program  and  its communications department. During her tenure, the Foundation has awarded more than $49 million in grant support for national and community-based employment</w:t>
      </w:r>
      <w:r>
        <w:rPr>
          <w:color w:val="231F20"/>
          <w:spacing w:val="-24"/>
        </w:rPr>
        <w:t> </w:t>
      </w:r>
      <w:r>
        <w:rPr>
          <w:color w:val="231F20"/>
        </w:rPr>
        <w:t>programs.</w:t>
      </w:r>
    </w:p>
    <w:p>
      <w:pPr>
        <w:pStyle w:val="BodyText"/>
        <w:spacing w:line="204" w:lineRule="auto" w:before="1"/>
        <w:ind w:left="140" w:right="38"/>
      </w:pPr>
      <w:r>
        <w:rPr>
          <w:color w:val="231F20"/>
        </w:rPr>
        <w:t>For more than 25 years, Katz has worked with non-profit organizations in the areas of board development, fundraising, marketing, and business development. Katz often speaks about innovative  practices  for  employing  people  with  disabilities,  and is the author/co-author of articles and papers on related topics. She currently serves on the board of directors of JESPY House, New Jersey Association of People Supporting Employment First</w:t>
      </w:r>
      <w:r>
        <w:rPr>
          <w:color w:val="231F20"/>
          <w:spacing w:val="-8"/>
        </w:rPr>
        <w:t> </w:t>
      </w:r>
      <w:r>
        <w:rPr>
          <w:color w:val="231F20"/>
        </w:rPr>
        <w:t>(NJAPSE),</w:t>
      </w:r>
      <w:r>
        <w:rPr>
          <w:color w:val="231F20"/>
          <w:spacing w:val="-7"/>
        </w:rPr>
        <w:t> </w:t>
      </w:r>
      <w:r>
        <w:rPr>
          <w:color w:val="231F20"/>
        </w:rPr>
        <w:t>Essex/Newark</w:t>
      </w:r>
      <w:r>
        <w:rPr>
          <w:color w:val="231F20"/>
          <w:spacing w:val="-7"/>
        </w:rPr>
        <w:t> </w:t>
      </w:r>
      <w:r>
        <w:rPr>
          <w:color w:val="231F20"/>
        </w:rPr>
        <w:t>Disabilities</w:t>
      </w:r>
      <w:r>
        <w:rPr>
          <w:color w:val="231F20"/>
          <w:spacing w:val="-7"/>
        </w:rPr>
        <w:t> </w:t>
      </w:r>
      <w:r>
        <w:rPr>
          <w:color w:val="231F20"/>
        </w:rPr>
        <w:t>Issues</w:t>
      </w:r>
      <w:r>
        <w:rPr>
          <w:color w:val="231F20"/>
          <w:spacing w:val="-8"/>
        </w:rPr>
        <w:t> </w:t>
      </w:r>
      <w:r>
        <w:rPr>
          <w:color w:val="231F20"/>
        </w:rPr>
        <w:t>Committee,</w:t>
      </w:r>
      <w:r>
        <w:rPr>
          <w:color w:val="231F20"/>
          <w:spacing w:val="-7"/>
        </w:rPr>
        <w:t> </w:t>
      </w:r>
      <w:r>
        <w:rPr>
          <w:color w:val="231F20"/>
        </w:rPr>
        <w:t>and</w:t>
      </w:r>
      <w:r>
        <w:rPr>
          <w:color w:val="231F20"/>
          <w:spacing w:val="-7"/>
        </w:rPr>
        <w:t> </w:t>
      </w:r>
      <w:r>
        <w:rPr>
          <w:color w:val="231F20"/>
        </w:rPr>
        <w:t>on the program committee of the Council of NJ Grantmakers. Elaine served</w:t>
      </w:r>
      <w:r>
        <w:rPr>
          <w:color w:val="231F20"/>
          <w:spacing w:val="-16"/>
        </w:rPr>
        <w:t> </w:t>
      </w:r>
      <w:r>
        <w:rPr>
          <w:color w:val="231F20"/>
        </w:rPr>
        <w:t>as</w:t>
      </w:r>
      <w:r>
        <w:rPr>
          <w:color w:val="231F20"/>
          <w:spacing w:val="-15"/>
        </w:rPr>
        <w:t> </w:t>
      </w:r>
      <w:r>
        <w:rPr>
          <w:color w:val="231F20"/>
        </w:rPr>
        <w:t>a</w:t>
      </w:r>
      <w:r>
        <w:rPr>
          <w:color w:val="231F20"/>
          <w:spacing w:val="-15"/>
        </w:rPr>
        <w:t> </w:t>
      </w:r>
      <w:r>
        <w:rPr>
          <w:color w:val="231F20"/>
        </w:rPr>
        <w:t>member</w:t>
      </w:r>
      <w:r>
        <w:rPr>
          <w:color w:val="231F20"/>
          <w:spacing w:val="-15"/>
        </w:rPr>
        <w:t> </w:t>
      </w:r>
      <w:r>
        <w:rPr>
          <w:color w:val="231F20"/>
        </w:rPr>
        <w:t>of</w:t>
      </w:r>
      <w:r>
        <w:rPr>
          <w:color w:val="231F20"/>
          <w:spacing w:val="-15"/>
        </w:rPr>
        <w:t> </w:t>
      </w:r>
      <w:r>
        <w:rPr>
          <w:color w:val="231F20"/>
        </w:rPr>
        <w:t>the</w:t>
      </w:r>
      <w:r>
        <w:rPr>
          <w:color w:val="231F20"/>
          <w:spacing w:val="-15"/>
        </w:rPr>
        <w:t> </w:t>
      </w:r>
      <w:r>
        <w:rPr>
          <w:color w:val="231F20"/>
        </w:rPr>
        <w:t>Human</w:t>
      </w:r>
      <w:r>
        <w:rPr>
          <w:color w:val="231F20"/>
          <w:spacing w:val="-15"/>
        </w:rPr>
        <w:t> </w:t>
      </w:r>
      <w:r>
        <w:rPr>
          <w:color w:val="231F20"/>
        </w:rPr>
        <w:t>and</w:t>
      </w:r>
      <w:r>
        <w:rPr>
          <w:color w:val="231F20"/>
          <w:spacing w:val="-15"/>
        </w:rPr>
        <w:t> </w:t>
      </w:r>
      <w:r>
        <w:rPr>
          <w:color w:val="231F20"/>
        </w:rPr>
        <w:t>Children</w:t>
      </w:r>
      <w:r>
        <w:rPr>
          <w:color w:val="231F20"/>
          <w:spacing w:val="-15"/>
        </w:rPr>
        <w:t> </w:t>
      </w:r>
      <w:r>
        <w:rPr>
          <w:color w:val="231F20"/>
        </w:rPr>
        <w:t>Services</w:t>
      </w:r>
      <w:r>
        <w:rPr>
          <w:color w:val="231F20"/>
          <w:spacing w:val="-15"/>
        </w:rPr>
        <w:t> </w:t>
      </w:r>
      <w:r>
        <w:rPr>
          <w:color w:val="231F20"/>
        </w:rPr>
        <w:t>Transition Advisory</w:t>
      </w:r>
      <w:r>
        <w:rPr>
          <w:color w:val="231F20"/>
          <w:spacing w:val="-6"/>
        </w:rPr>
        <w:t> </w:t>
      </w:r>
      <w:r>
        <w:rPr>
          <w:color w:val="231F20"/>
        </w:rPr>
        <w:t>Committee</w:t>
      </w:r>
      <w:r>
        <w:rPr>
          <w:color w:val="231F20"/>
          <w:spacing w:val="-6"/>
        </w:rPr>
        <w:t> </w:t>
      </w:r>
      <w:r>
        <w:rPr>
          <w:color w:val="231F20"/>
        </w:rPr>
        <w:t>for</w:t>
      </w:r>
      <w:r>
        <w:rPr>
          <w:color w:val="231F20"/>
          <w:spacing w:val="-6"/>
        </w:rPr>
        <w:t> </w:t>
      </w:r>
      <w:r>
        <w:rPr>
          <w:color w:val="231F20"/>
        </w:rPr>
        <w:t>Governor-elect</w:t>
      </w:r>
      <w:r>
        <w:rPr>
          <w:color w:val="231F20"/>
          <w:spacing w:val="-6"/>
        </w:rPr>
        <w:t> </w:t>
      </w:r>
      <w:r>
        <w:rPr>
          <w:color w:val="231F20"/>
        </w:rPr>
        <w:t>Phil</w:t>
      </w:r>
      <w:r>
        <w:rPr>
          <w:color w:val="231F20"/>
          <w:spacing w:val="-7"/>
        </w:rPr>
        <w:t> </w:t>
      </w:r>
      <w:r>
        <w:rPr>
          <w:color w:val="231F20"/>
        </w:rPr>
        <w:t>Murphy.</w:t>
      </w:r>
      <w:r>
        <w:rPr>
          <w:color w:val="231F20"/>
          <w:spacing w:val="-7"/>
        </w:rPr>
        <w:t> </w:t>
      </w:r>
      <w:r>
        <w:rPr>
          <w:color w:val="231F20"/>
        </w:rPr>
        <w:t>She</w:t>
      </w:r>
      <w:r>
        <w:rPr>
          <w:color w:val="231F20"/>
          <w:spacing w:val="-5"/>
        </w:rPr>
        <w:t> </w:t>
      </w:r>
      <w:r>
        <w:rPr>
          <w:color w:val="231F20"/>
        </w:rPr>
        <w:t>is</w:t>
      </w:r>
      <w:r>
        <w:rPr>
          <w:color w:val="231F20"/>
          <w:spacing w:val="-6"/>
        </w:rPr>
        <w:t> </w:t>
      </w:r>
      <w:r>
        <w:rPr>
          <w:color w:val="231F20"/>
        </w:rPr>
        <w:t>also</w:t>
      </w:r>
      <w:r>
        <w:rPr>
          <w:color w:val="231F20"/>
          <w:spacing w:val="-6"/>
        </w:rPr>
        <w:t> </w:t>
      </w:r>
      <w:r>
        <w:rPr>
          <w:color w:val="231F20"/>
        </w:rPr>
        <w:t>an appointed member of Empower NYC Advisory Board, Workforce Matters National Steering Committee, ReelAbilities NY Advisory   &amp; Council, ReelAbilities 2019 Selection Committee and the NJ Veterans and Community Collaborative Network</w:t>
      </w:r>
      <w:r>
        <w:rPr>
          <w:color w:val="231F20"/>
          <w:spacing w:val="-4"/>
        </w:rPr>
        <w:t> </w:t>
      </w:r>
      <w:r>
        <w:rPr>
          <w:color w:val="231F20"/>
        </w:rPr>
        <w:t>(VCCN).</w:t>
      </w:r>
    </w:p>
    <w:p>
      <w:pPr>
        <w:pStyle w:val="Heading2"/>
        <w:spacing w:line="223" w:lineRule="exact" w:before="101"/>
      </w:pPr>
      <w:r>
        <w:rPr>
          <w:b w:val="0"/>
        </w:rPr>
        <w:br w:type="column"/>
      </w:r>
      <w:r>
        <w:rPr>
          <w:color w:val="231F20"/>
        </w:rPr>
        <w:t>John O’Neill, PhD, CRC</w:t>
      </w:r>
    </w:p>
    <w:p>
      <w:pPr>
        <w:spacing w:line="196" w:lineRule="auto" w:before="12"/>
        <w:ind w:left="1670" w:right="1060" w:firstLine="0"/>
        <w:jc w:val="left"/>
        <w:rPr>
          <w:b/>
          <w:sz w:val="18"/>
        </w:rPr>
      </w:pPr>
      <w:r>
        <w:rPr/>
        <w:drawing>
          <wp:anchor distT="0" distB="0" distL="0" distR="0" allowOverlap="1" layoutInCell="1" locked="0" behindDoc="0" simplePos="0" relativeHeight="251673600">
            <wp:simplePos x="0" y="0"/>
            <wp:positionH relativeFrom="page">
              <wp:posOffset>4001008</wp:posOffset>
            </wp:positionH>
            <wp:positionV relativeFrom="paragraph">
              <wp:posOffset>-106657</wp:posOffset>
            </wp:positionV>
            <wp:extent cx="914400" cy="1143000"/>
            <wp:effectExtent l="0" t="0" r="0" b="0"/>
            <wp:wrapNone/>
            <wp:docPr id="5" name="image5.jpeg"/>
            <wp:cNvGraphicFramePr>
              <a:graphicFrameLocks noChangeAspect="1"/>
            </wp:cNvGraphicFramePr>
            <a:graphic>
              <a:graphicData uri="http://schemas.openxmlformats.org/drawingml/2006/picture">
                <pic:pic>
                  <pic:nvPicPr>
                    <pic:cNvPr id="6" name="image5.jpeg"/>
                    <pic:cNvPicPr/>
                  </pic:nvPicPr>
                  <pic:blipFill>
                    <a:blip r:embed="rId9" cstate="print"/>
                    <a:stretch>
                      <a:fillRect/>
                    </a:stretch>
                  </pic:blipFill>
                  <pic:spPr>
                    <a:xfrm>
                      <a:off x="0" y="0"/>
                      <a:ext cx="914400" cy="1143000"/>
                    </a:xfrm>
                    <a:prstGeom prst="rect">
                      <a:avLst/>
                    </a:prstGeom>
                  </pic:spPr>
                </pic:pic>
              </a:graphicData>
            </a:graphic>
          </wp:anchor>
        </w:drawing>
      </w:r>
      <w:r>
        <w:rPr>
          <w:b/>
          <w:color w:val="231F20"/>
          <w:sz w:val="18"/>
        </w:rPr>
        <w:t>Director, Center for Employment and Disability Research</w:t>
      </w:r>
    </w:p>
    <w:p>
      <w:pPr>
        <w:pStyle w:val="BodyText"/>
        <w:spacing w:line="187" w:lineRule="auto" w:before="214"/>
        <w:ind w:left="1670" w:right="728"/>
      </w:pPr>
      <w:r>
        <w:rPr>
          <w:color w:val="231F20"/>
        </w:rPr>
        <w:t>John O’Neill, PhD, is a national expert in disability employment, with more than 35 years</w:t>
      </w:r>
      <w:r>
        <w:rPr>
          <w:color w:val="231F20"/>
          <w:spacing w:val="-9"/>
        </w:rPr>
        <w:t> </w:t>
      </w:r>
      <w:r>
        <w:rPr>
          <w:color w:val="231F20"/>
        </w:rPr>
        <w:t>of</w:t>
      </w:r>
      <w:r>
        <w:rPr>
          <w:color w:val="231F20"/>
          <w:spacing w:val="-9"/>
        </w:rPr>
        <w:t> </w:t>
      </w:r>
      <w:r>
        <w:rPr>
          <w:color w:val="231F20"/>
        </w:rPr>
        <w:t>experience</w:t>
      </w:r>
      <w:r>
        <w:rPr>
          <w:color w:val="231F20"/>
          <w:spacing w:val="-9"/>
        </w:rPr>
        <w:t> </w:t>
      </w:r>
      <w:r>
        <w:rPr>
          <w:color w:val="231F20"/>
        </w:rPr>
        <w:t>in</w:t>
      </w:r>
      <w:r>
        <w:rPr>
          <w:color w:val="231F20"/>
          <w:spacing w:val="-9"/>
        </w:rPr>
        <w:t> </w:t>
      </w:r>
      <w:r>
        <w:rPr>
          <w:color w:val="231F20"/>
        </w:rPr>
        <w:t>vocational</w:t>
      </w:r>
      <w:r>
        <w:rPr>
          <w:color w:val="231F20"/>
          <w:spacing w:val="-9"/>
        </w:rPr>
        <w:t> </w:t>
      </w:r>
      <w:r>
        <w:rPr>
          <w:color w:val="231F20"/>
        </w:rPr>
        <w:t>rehabilitation research. His research has been funded by federal</w:t>
      </w:r>
      <w:r>
        <w:rPr>
          <w:color w:val="231F20"/>
          <w:spacing w:val="-19"/>
        </w:rPr>
        <w:t> </w:t>
      </w:r>
      <w:r>
        <w:rPr>
          <w:color w:val="231F20"/>
        </w:rPr>
        <w:t>grants</w:t>
      </w:r>
      <w:r>
        <w:rPr>
          <w:color w:val="231F20"/>
          <w:spacing w:val="-18"/>
        </w:rPr>
        <w:t> </w:t>
      </w:r>
      <w:r>
        <w:rPr>
          <w:color w:val="231F20"/>
        </w:rPr>
        <w:t>and</w:t>
      </w:r>
      <w:r>
        <w:rPr>
          <w:color w:val="231F20"/>
          <w:spacing w:val="-18"/>
        </w:rPr>
        <w:t> </w:t>
      </w:r>
      <w:r>
        <w:rPr>
          <w:color w:val="231F20"/>
        </w:rPr>
        <w:t>private</w:t>
      </w:r>
      <w:r>
        <w:rPr>
          <w:color w:val="231F20"/>
          <w:spacing w:val="-18"/>
        </w:rPr>
        <w:t> </w:t>
      </w:r>
      <w:r>
        <w:rPr>
          <w:color w:val="231F20"/>
        </w:rPr>
        <w:t>sources</w:t>
      </w:r>
      <w:r>
        <w:rPr>
          <w:color w:val="231F20"/>
          <w:spacing w:val="-19"/>
        </w:rPr>
        <w:t> </w:t>
      </w:r>
      <w:r>
        <w:rPr>
          <w:color w:val="231F20"/>
        </w:rPr>
        <w:t>including</w:t>
      </w:r>
      <w:r>
        <w:rPr>
          <w:color w:val="231F20"/>
          <w:spacing w:val="-18"/>
        </w:rPr>
        <w:t> </w:t>
      </w:r>
      <w:r>
        <w:rPr>
          <w:color w:val="231F20"/>
        </w:rPr>
        <w:t>the National Institute on Disability,</w:t>
      </w:r>
      <w:r>
        <w:rPr>
          <w:color w:val="231F20"/>
          <w:spacing w:val="37"/>
        </w:rPr>
        <w:t> </w:t>
      </w:r>
      <w:r>
        <w:rPr>
          <w:color w:val="231F20"/>
        </w:rPr>
        <w:t>Independent</w:t>
      </w:r>
    </w:p>
    <w:p>
      <w:pPr>
        <w:pStyle w:val="BodyText"/>
        <w:spacing w:line="187" w:lineRule="auto"/>
        <w:ind w:left="140" w:right="728"/>
      </w:pPr>
      <w:r>
        <w:rPr>
          <w:color w:val="231F20"/>
        </w:rPr>
        <w:t>Living,</w:t>
      </w:r>
      <w:r>
        <w:rPr>
          <w:color w:val="231F20"/>
          <w:spacing w:val="-11"/>
        </w:rPr>
        <w:t> </w:t>
      </w:r>
      <w:r>
        <w:rPr>
          <w:color w:val="231F20"/>
        </w:rPr>
        <w:t>and</w:t>
      </w:r>
      <w:r>
        <w:rPr>
          <w:color w:val="231F20"/>
          <w:spacing w:val="-10"/>
        </w:rPr>
        <w:t> </w:t>
      </w:r>
      <w:r>
        <w:rPr>
          <w:color w:val="231F20"/>
        </w:rPr>
        <w:t>Rehabilitation</w:t>
      </w:r>
      <w:r>
        <w:rPr>
          <w:color w:val="231F20"/>
          <w:spacing w:val="-11"/>
        </w:rPr>
        <w:t> </w:t>
      </w:r>
      <w:r>
        <w:rPr>
          <w:color w:val="231F20"/>
        </w:rPr>
        <w:t>Research</w:t>
      </w:r>
      <w:r>
        <w:rPr>
          <w:color w:val="231F20"/>
          <w:spacing w:val="-10"/>
        </w:rPr>
        <w:t> </w:t>
      </w:r>
      <w:r>
        <w:rPr>
          <w:color w:val="231F20"/>
        </w:rPr>
        <w:t>(NIDILRR),</w:t>
      </w:r>
      <w:r>
        <w:rPr>
          <w:color w:val="231F20"/>
          <w:spacing w:val="-11"/>
        </w:rPr>
        <w:t> </w:t>
      </w:r>
      <w:r>
        <w:rPr>
          <w:color w:val="231F20"/>
        </w:rPr>
        <w:t>the</w:t>
      </w:r>
      <w:r>
        <w:rPr>
          <w:color w:val="231F20"/>
          <w:spacing w:val="-10"/>
        </w:rPr>
        <w:t> </w:t>
      </w:r>
      <w:r>
        <w:rPr>
          <w:color w:val="231F20"/>
        </w:rPr>
        <w:t>U.S.</w:t>
      </w:r>
      <w:r>
        <w:rPr>
          <w:color w:val="231F20"/>
          <w:spacing w:val="-10"/>
        </w:rPr>
        <w:t> </w:t>
      </w:r>
      <w:r>
        <w:rPr>
          <w:color w:val="231F20"/>
        </w:rPr>
        <w:t>Department of</w:t>
      </w:r>
      <w:r>
        <w:rPr>
          <w:color w:val="231F20"/>
          <w:spacing w:val="-5"/>
        </w:rPr>
        <w:t> </w:t>
      </w:r>
      <w:r>
        <w:rPr>
          <w:color w:val="231F20"/>
        </w:rPr>
        <w:t>Defense,</w:t>
      </w:r>
      <w:r>
        <w:rPr>
          <w:color w:val="231F20"/>
          <w:spacing w:val="-5"/>
        </w:rPr>
        <w:t> </w:t>
      </w:r>
      <w:r>
        <w:rPr>
          <w:color w:val="231F20"/>
        </w:rPr>
        <w:t>and</w:t>
      </w:r>
      <w:r>
        <w:rPr>
          <w:color w:val="231F20"/>
          <w:spacing w:val="-4"/>
        </w:rPr>
        <w:t> </w:t>
      </w:r>
      <w:r>
        <w:rPr>
          <w:color w:val="231F20"/>
        </w:rPr>
        <w:t>the</w:t>
      </w:r>
      <w:r>
        <w:rPr>
          <w:color w:val="231F20"/>
          <w:spacing w:val="-5"/>
        </w:rPr>
        <w:t> </w:t>
      </w:r>
      <w:r>
        <w:rPr>
          <w:color w:val="231F20"/>
        </w:rPr>
        <w:t>Craig</w:t>
      </w:r>
      <w:r>
        <w:rPr>
          <w:color w:val="231F20"/>
          <w:spacing w:val="-5"/>
        </w:rPr>
        <w:t> </w:t>
      </w:r>
      <w:r>
        <w:rPr>
          <w:color w:val="231F20"/>
        </w:rPr>
        <w:t>H.</w:t>
      </w:r>
      <w:r>
        <w:rPr>
          <w:color w:val="231F20"/>
          <w:spacing w:val="-4"/>
        </w:rPr>
        <w:t> </w:t>
      </w:r>
      <w:r>
        <w:rPr>
          <w:color w:val="231F20"/>
        </w:rPr>
        <w:t>Neilsen</w:t>
      </w:r>
      <w:r>
        <w:rPr>
          <w:color w:val="231F20"/>
          <w:spacing w:val="-5"/>
        </w:rPr>
        <w:t> </w:t>
      </w:r>
      <w:r>
        <w:rPr>
          <w:color w:val="231F20"/>
        </w:rPr>
        <w:t>Foundation.</w:t>
      </w:r>
      <w:r>
        <w:rPr>
          <w:color w:val="231F20"/>
          <w:spacing w:val="-4"/>
        </w:rPr>
        <w:t> </w:t>
      </w:r>
      <w:r>
        <w:rPr>
          <w:color w:val="231F20"/>
        </w:rPr>
        <w:t>He</w:t>
      </w:r>
      <w:r>
        <w:rPr>
          <w:color w:val="231F20"/>
          <w:spacing w:val="-5"/>
        </w:rPr>
        <w:t> </w:t>
      </w:r>
      <w:r>
        <w:rPr>
          <w:color w:val="231F20"/>
        </w:rPr>
        <w:t>has</w:t>
      </w:r>
      <w:r>
        <w:rPr>
          <w:color w:val="231F20"/>
          <w:spacing w:val="-5"/>
        </w:rPr>
        <w:t> </w:t>
      </w:r>
      <w:r>
        <w:rPr>
          <w:color w:val="231F20"/>
        </w:rPr>
        <w:t>served</w:t>
      </w:r>
      <w:r>
        <w:rPr>
          <w:color w:val="231F20"/>
          <w:spacing w:val="-4"/>
        </w:rPr>
        <w:t> </w:t>
      </w:r>
      <w:r>
        <w:rPr>
          <w:color w:val="231F20"/>
        </w:rPr>
        <w:t>as project co-director of three employment-focused NIDILRR-funded Rehabilitation Research and Training Centers (RRTC), as well as a co-investigator of the Northern New Jersey Traumatic Brain Injury (TBI)</w:t>
      </w:r>
      <w:r>
        <w:rPr>
          <w:color w:val="231F20"/>
          <w:spacing w:val="-7"/>
        </w:rPr>
        <w:t> </w:t>
      </w:r>
      <w:r>
        <w:rPr>
          <w:color w:val="231F20"/>
        </w:rPr>
        <w:t>Model</w:t>
      </w:r>
      <w:r>
        <w:rPr>
          <w:color w:val="231F20"/>
          <w:spacing w:val="-6"/>
        </w:rPr>
        <w:t> </w:t>
      </w:r>
      <w:r>
        <w:rPr>
          <w:color w:val="231F20"/>
        </w:rPr>
        <w:t>System.</w:t>
      </w:r>
      <w:r>
        <w:rPr>
          <w:color w:val="231F20"/>
          <w:spacing w:val="-7"/>
        </w:rPr>
        <w:t> </w:t>
      </w:r>
      <w:r>
        <w:rPr>
          <w:color w:val="231F20"/>
        </w:rPr>
        <w:t>He</w:t>
      </w:r>
      <w:r>
        <w:rPr>
          <w:color w:val="231F20"/>
          <w:spacing w:val="-6"/>
        </w:rPr>
        <w:t> </w:t>
      </w:r>
      <w:r>
        <w:rPr>
          <w:color w:val="231F20"/>
        </w:rPr>
        <w:t>is</w:t>
      </w:r>
      <w:r>
        <w:rPr>
          <w:color w:val="231F20"/>
          <w:spacing w:val="-6"/>
        </w:rPr>
        <w:t> </w:t>
      </w:r>
      <w:r>
        <w:rPr>
          <w:color w:val="231F20"/>
        </w:rPr>
        <w:t>former</w:t>
      </w:r>
      <w:r>
        <w:rPr>
          <w:color w:val="231F20"/>
          <w:spacing w:val="-7"/>
        </w:rPr>
        <w:t> </w:t>
      </w:r>
      <w:r>
        <w:rPr>
          <w:color w:val="231F20"/>
        </w:rPr>
        <w:t>principal</w:t>
      </w:r>
      <w:r>
        <w:rPr>
          <w:color w:val="231F20"/>
          <w:spacing w:val="-6"/>
        </w:rPr>
        <w:t> </w:t>
      </w:r>
      <w:r>
        <w:rPr>
          <w:color w:val="231F20"/>
        </w:rPr>
        <w:t>investigator</w:t>
      </w:r>
      <w:r>
        <w:rPr>
          <w:color w:val="231F20"/>
          <w:spacing w:val="-7"/>
        </w:rPr>
        <w:t> </w:t>
      </w:r>
      <w:r>
        <w:rPr>
          <w:color w:val="231F20"/>
        </w:rPr>
        <w:t>of</w:t>
      </w:r>
      <w:r>
        <w:rPr>
          <w:color w:val="231F20"/>
          <w:spacing w:val="-6"/>
        </w:rPr>
        <w:t> </w:t>
      </w:r>
      <w:r>
        <w:rPr>
          <w:color w:val="231F20"/>
        </w:rPr>
        <w:t>the</w:t>
      </w:r>
      <w:r>
        <w:rPr>
          <w:color w:val="231F20"/>
          <w:spacing w:val="-6"/>
        </w:rPr>
        <w:t> </w:t>
      </w:r>
      <w:r>
        <w:rPr>
          <w:color w:val="231F20"/>
        </w:rPr>
        <w:t>RRTC on the Community Integration of People with TBI, and worked for more than eight years on NIDILRR-funded research to improve vocational rehabilitation services for persons with AIDS. O’Neill has served on the NY Rehabilitation Council and is on the faculty of Hunter College of the City University of New  York,</w:t>
      </w:r>
      <w:r>
        <w:rPr>
          <w:color w:val="231F20"/>
          <w:spacing w:val="23"/>
        </w:rPr>
        <w:t> </w:t>
      </w:r>
      <w:r>
        <w:rPr>
          <w:color w:val="231F20"/>
        </w:rPr>
        <w:t>Rutgers New Jersey Medical School’s  Department  of  Physical  Medicine &amp; Rehabilitation, and the John J. Heldrich Center for Workforce Development at Rutgers University. He is co-editor of National Trends in Disability Employment, a monthly report supported by NIDILRR that is issued by Kessler Foundation and the University</w:t>
      </w:r>
      <w:r>
        <w:rPr>
          <w:color w:val="231F20"/>
          <w:spacing w:val="-31"/>
        </w:rPr>
        <w:t> </w:t>
      </w:r>
      <w:r>
        <w:rPr>
          <w:color w:val="231F20"/>
        </w:rPr>
        <w:t>of New Hampshire.</w:t>
      </w:r>
    </w:p>
    <w:p>
      <w:pPr>
        <w:spacing w:after="0" w:line="187" w:lineRule="auto"/>
        <w:sectPr>
          <w:type w:val="continuous"/>
          <w:pgSz w:w="12240" w:h="15840"/>
          <w:pgMar w:top="720" w:bottom="0" w:left="580" w:right="0"/>
          <w:cols w:num="2" w:equalWidth="0">
            <w:col w:w="5403" w:space="178"/>
            <w:col w:w="6079"/>
          </w:cols>
        </w:sectPr>
      </w:pPr>
    </w:p>
    <w:p>
      <w:pPr>
        <w:pStyle w:val="BodyText"/>
        <w:spacing w:before="4"/>
        <w:jc w:val="left"/>
        <w:rPr>
          <w:sz w:val="10"/>
        </w:rPr>
      </w:pPr>
    </w:p>
    <w:p>
      <w:pPr>
        <w:pStyle w:val="Heading1"/>
        <w:tabs>
          <w:tab w:pos="10944" w:val="left" w:leader="none"/>
        </w:tabs>
        <w:ind w:left="140"/>
        <w:rPr>
          <w:u w:val="none"/>
        </w:rPr>
      </w:pPr>
      <w:r>
        <w:rPr>
          <w:color w:val="231F20"/>
          <w:w w:val="80"/>
          <w:u w:val="single" w:color="231F20"/>
        </w:rPr>
        <w:t>UNIVERSITY OF NEW</w:t>
      </w:r>
      <w:r>
        <w:rPr>
          <w:color w:val="231F20"/>
          <w:spacing w:val="-9"/>
          <w:w w:val="80"/>
          <w:u w:val="single" w:color="231F20"/>
        </w:rPr>
        <w:t> </w:t>
      </w:r>
      <w:r>
        <w:rPr>
          <w:color w:val="231F20"/>
          <w:w w:val="80"/>
          <w:u w:val="single" w:color="231F20"/>
        </w:rPr>
        <w:t>HAMPSHIRE</w:t>
      </w:r>
      <w:r>
        <w:rPr>
          <w:color w:val="231F20"/>
          <w:u w:val="single" w:color="231F20"/>
        </w:rPr>
        <w:tab/>
      </w:r>
    </w:p>
    <w:p>
      <w:pPr>
        <w:spacing w:after="0"/>
        <w:sectPr>
          <w:type w:val="continuous"/>
          <w:pgSz w:w="12240" w:h="15840"/>
          <w:pgMar w:top="720" w:bottom="0" w:left="580" w:right="0"/>
        </w:sectPr>
      </w:pPr>
    </w:p>
    <w:p>
      <w:pPr>
        <w:pStyle w:val="Heading2"/>
        <w:spacing w:line="196" w:lineRule="auto" w:before="112"/>
        <w:ind w:right="961"/>
      </w:pPr>
      <w:r>
        <w:rPr/>
        <w:pict>
          <v:group style="position:absolute;margin-left:0pt;margin-top:727.200012pt;width:612pt;height:64.8pt;mso-position-horizontal-relative:page;mso-position-vertical-relative:page;z-index:251670528" coordorigin="0,14544" coordsize="12240,1296">
            <v:shape style="position:absolute;left:0;top:14544;width:12240;height:1296" type="#_x0000_t75" stroked="false">
              <v:imagedata r:id="rId10" o:title=""/>
            </v:shape>
            <v:shape style="position:absolute;left:7867;top:15237;width:278;height:278" type="#_x0000_t75" stroked="false">
              <v:imagedata r:id="rId11" o:title=""/>
            </v:shape>
            <v:shape style="position:absolute;left:5361;top:15235;width:278;height:278" type="#_x0000_t75" stroked="false">
              <v:imagedata r:id="rId12" o:title=""/>
            </v:shape>
            <v:shape style="position:absolute;left:1462;top:15219;width:278;height:278" type="#_x0000_t75" stroked="false">
              <v:imagedata r:id="rId13" o:title=""/>
            </v:shape>
            <v:shape style="position:absolute;left:3407;top:15223;width:301;height:301" type="#_x0000_t75" stroked="false">
              <v:imagedata r:id="rId14" o:title=""/>
            </v:shape>
            <v:shape style="position:absolute;left:3199;top:14785;width:1316;height:246" type="#_x0000_t202" filled="false" stroked="false">
              <v:textbox inset="0,0,0,0">
                <w:txbxContent>
                  <w:p>
                    <w:pPr>
                      <w:spacing w:before="0"/>
                      <w:ind w:left="0" w:right="0" w:firstLine="0"/>
                      <w:jc w:val="left"/>
                      <w:rPr>
                        <w:sz w:val="18"/>
                      </w:rPr>
                    </w:pPr>
                    <w:r>
                      <w:rPr>
                        <w:color w:val="FFFFFF"/>
                        <w:sz w:val="18"/>
                      </w:rPr>
                      <w:t>#KFSurvey2020</w:t>
                    </w:r>
                  </w:p>
                </w:txbxContent>
              </v:textbox>
              <w10:wrap type="none"/>
            </v:shape>
            <v:shape style="position:absolute;left:5127;top:14785;width:1701;height:246" type="#_x0000_t202" filled="false" stroked="false">
              <v:textbox inset="0,0,0,0">
                <w:txbxContent>
                  <w:p>
                    <w:pPr>
                      <w:spacing w:before="0"/>
                      <w:ind w:left="0" w:right="0" w:firstLine="0"/>
                      <w:jc w:val="left"/>
                      <w:rPr>
                        <w:sz w:val="18"/>
                      </w:rPr>
                    </w:pPr>
                    <w:r>
                      <w:rPr>
                        <w:color w:val="FFFFFF"/>
                        <w:sz w:val="18"/>
                      </w:rPr>
                      <w:t>#KesslerFoundation</w:t>
                    </w:r>
                  </w:p>
                </w:txbxContent>
              </v:textbox>
              <w10:wrap type="none"/>
            </v:shape>
            <v:shape style="position:absolute;left:7448;top:14785;width:1341;height:246" type="#_x0000_t202" filled="false" stroked="false">
              <v:textbox inset="0,0,0,0">
                <w:txbxContent>
                  <w:p>
                    <w:pPr>
                      <w:spacing w:before="0"/>
                      <w:ind w:left="0" w:right="0" w:firstLine="0"/>
                      <w:jc w:val="left"/>
                      <w:rPr>
                        <w:sz w:val="18"/>
                      </w:rPr>
                    </w:pPr>
                    <w:r>
                      <w:rPr>
                        <w:color w:val="FFFFFF"/>
                        <w:sz w:val="18"/>
                      </w:rPr>
                      <w:t>#ChangingLives</w:t>
                    </w:r>
                  </w:p>
                </w:txbxContent>
              </v:textbox>
              <w10:wrap type="none"/>
            </v:shape>
            <v:shape style="position:absolute;left:1810;top:15259;width:979;height:218" type="#_x0000_t202" filled="false" stroked="false">
              <v:textbox inset="0,0,0,0">
                <w:txbxContent>
                  <w:p>
                    <w:pPr>
                      <w:spacing w:before="0"/>
                      <w:ind w:left="0" w:right="0" w:firstLine="0"/>
                      <w:jc w:val="left"/>
                      <w:rPr>
                        <w:sz w:val="16"/>
                      </w:rPr>
                    </w:pPr>
                    <w:r>
                      <w:rPr>
                        <w:color w:val="FFFFFF"/>
                        <w:sz w:val="16"/>
                      </w:rPr>
                      <w:t>@KesslerFdn</w:t>
                    </w:r>
                  </w:p>
                </w:txbxContent>
              </v:textbox>
              <w10:wrap type="none"/>
            </v:shape>
            <v:shape style="position:absolute;left:3764;top:15258;width:965;height:218" type="#_x0000_t202" filled="false" stroked="false">
              <v:textbox inset="0,0,0,0">
                <w:txbxContent>
                  <w:p>
                    <w:pPr>
                      <w:spacing w:before="0"/>
                      <w:ind w:left="0" w:right="0" w:firstLine="0"/>
                      <w:jc w:val="left"/>
                      <w:rPr>
                        <w:sz w:val="16"/>
                      </w:rPr>
                    </w:pPr>
                    <w:r>
                      <w:rPr>
                        <w:color w:val="FFFFFF"/>
                        <w:sz w:val="16"/>
                      </w:rPr>
                      <w:t>@kesslerFdn</w:t>
                    </w:r>
                  </w:p>
                </w:txbxContent>
              </v:textbox>
              <w10:wrap type="none"/>
            </v:shape>
            <v:shape style="position:absolute;left:5708;top:15258;width:1555;height:218" type="#_x0000_t202" filled="false" stroked="false">
              <v:textbox inset="0,0,0,0">
                <w:txbxContent>
                  <w:p>
                    <w:pPr>
                      <w:spacing w:before="0"/>
                      <w:ind w:left="0" w:right="0" w:firstLine="0"/>
                      <w:jc w:val="left"/>
                      <w:rPr>
                        <w:sz w:val="16"/>
                      </w:rPr>
                    </w:pPr>
                    <w:r>
                      <w:rPr>
                        <w:color w:val="FFFFFF"/>
                        <w:sz w:val="16"/>
                      </w:rPr>
                      <w:t>@KesslerFoundation</w:t>
                    </w:r>
                  </w:p>
                </w:txbxContent>
              </v:textbox>
              <w10:wrap type="none"/>
            </v:shape>
            <v:shape style="position:absolute;left:8196;top:15259;width:2603;height:218" type="#_x0000_t202" filled="false" stroked="false">
              <v:textbox inset="0,0,0,0">
                <w:txbxContent>
                  <w:p>
                    <w:pPr>
                      <w:spacing w:before="0"/>
                      <w:ind w:left="0" w:right="0" w:firstLine="0"/>
                      <w:jc w:val="left"/>
                      <w:rPr>
                        <w:sz w:val="16"/>
                      </w:rPr>
                    </w:pPr>
                    <w:r>
                      <w:rPr>
                        <w:color w:val="FFFFFF"/>
                        <w:sz w:val="16"/>
                      </w:rPr>
                      <w:t>Kesslerfoundation.org/2020Survey</w:t>
                    </w:r>
                  </w:p>
                </w:txbxContent>
              </v:textbox>
              <w10:wrap type="none"/>
            </v:shape>
            <w10:wrap type="none"/>
          </v:group>
        </w:pict>
      </w:r>
      <w:r>
        <w:rPr/>
        <w:drawing>
          <wp:anchor distT="0" distB="0" distL="0" distR="0" allowOverlap="1" layoutInCell="1" locked="0" behindDoc="0" simplePos="0" relativeHeight="251674624">
            <wp:simplePos x="0" y="0"/>
            <wp:positionH relativeFrom="page">
              <wp:posOffset>457200</wp:posOffset>
            </wp:positionH>
            <wp:positionV relativeFrom="paragraph">
              <wp:posOffset>83844</wp:posOffset>
            </wp:positionV>
            <wp:extent cx="914400" cy="1143000"/>
            <wp:effectExtent l="0" t="0" r="0" b="0"/>
            <wp:wrapNone/>
            <wp:docPr id="7" name="image11.jpeg"/>
            <wp:cNvGraphicFramePr>
              <a:graphicFrameLocks noChangeAspect="1"/>
            </wp:cNvGraphicFramePr>
            <a:graphic>
              <a:graphicData uri="http://schemas.openxmlformats.org/drawingml/2006/picture">
                <pic:pic>
                  <pic:nvPicPr>
                    <pic:cNvPr id="8" name="image11.jpeg"/>
                    <pic:cNvPicPr/>
                  </pic:nvPicPr>
                  <pic:blipFill>
                    <a:blip r:embed="rId15" cstate="print"/>
                    <a:stretch>
                      <a:fillRect/>
                    </a:stretch>
                  </pic:blipFill>
                  <pic:spPr>
                    <a:xfrm>
                      <a:off x="0" y="0"/>
                      <a:ext cx="914400" cy="1143000"/>
                    </a:xfrm>
                    <a:prstGeom prst="rect">
                      <a:avLst/>
                    </a:prstGeom>
                  </pic:spPr>
                </pic:pic>
              </a:graphicData>
            </a:graphic>
          </wp:anchor>
        </w:drawing>
      </w:r>
      <w:r>
        <w:rPr>
          <w:color w:val="231F20"/>
        </w:rPr>
        <w:t>Andrew Houtenville, PhD Director of Research, UNH-IOD</w:t>
      </w:r>
    </w:p>
    <w:p>
      <w:pPr>
        <w:pStyle w:val="BodyText"/>
        <w:spacing w:line="187" w:lineRule="auto" w:before="174"/>
        <w:ind w:left="1670" w:right="38"/>
      </w:pPr>
      <w:r>
        <w:rPr>
          <w:color w:val="231F20"/>
        </w:rPr>
        <w:t>Dr. Andrew Houtenville is an Associate Professor of Economics and Research Director of</w:t>
      </w:r>
      <w:r>
        <w:rPr>
          <w:color w:val="231F20"/>
          <w:spacing w:val="-5"/>
        </w:rPr>
        <w:t> </w:t>
      </w:r>
      <w:r>
        <w:rPr>
          <w:color w:val="231F20"/>
        </w:rPr>
        <w:t>at</w:t>
      </w:r>
      <w:r>
        <w:rPr>
          <w:color w:val="231F20"/>
          <w:spacing w:val="-4"/>
        </w:rPr>
        <w:t> </w:t>
      </w:r>
      <w:r>
        <w:rPr>
          <w:color w:val="231F20"/>
        </w:rPr>
        <w:t>the</w:t>
      </w:r>
      <w:r>
        <w:rPr>
          <w:color w:val="231F20"/>
          <w:spacing w:val="-4"/>
        </w:rPr>
        <w:t> </w:t>
      </w:r>
      <w:r>
        <w:rPr>
          <w:color w:val="231F20"/>
        </w:rPr>
        <w:t>Institute</w:t>
      </w:r>
      <w:r>
        <w:rPr>
          <w:color w:val="231F20"/>
          <w:spacing w:val="-4"/>
        </w:rPr>
        <w:t> </w:t>
      </w:r>
      <w:r>
        <w:rPr>
          <w:color w:val="231F20"/>
        </w:rPr>
        <w:t>on</w:t>
      </w:r>
      <w:r>
        <w:rPr>
          <w:color w:val="231F20"/>
          <w:spacing w:val="-5"/>
        </w:rPr>
        <w:t> </w:t>
      </w:r>
      <w:r>
        <w:rPr>
          <w:color w:val="231F20"/>
        </w:rPr>
        <w:t>Disability</w:t>
      </w:r>
      <w:r>
        <w:rPr>
          <w:color w:val="231F20"/>
          <w:spacing w:val="-4"/>
        </w:rPr>
        <w:t> </w:t>
      </w:r>
      <w:r>
        <w:rPr>
          <w:color w:val="231F20"/>
        </w:rPr>
        <w:t>at</w:t>
      </w:r>
      <w:r>
        <w:rPr>
          <w:color w:val="231F20"/>
          <w:spacing w:val="-4"/>
        </w:rPr>
        <w:t> </w:t>
      </w:r>
      <w:r>
        <w:rPr>
          <w:color w:val="231F20"/>
        </w:rPr>
        <w:t>the</w:t>
      </w:r>
      <w:r>
        <w:rPr>
          <w:color w:val="231F20"/>
          <w:spacing w:val="-4"/>
        </w:rPr>
        <w:t> </w:t>
      </w:r>
      <w:r>
        <w:rPr>
          <w:color w:val="231F20"/>
        </w:rPr>
        <w:t>University of New Hampshire. He is extensively involved in disability statistics and employment policy research.  He  has  been   published   widely   in the areas of disability statistics and the economic status of people with disabilities.</w:t>
      </w:r>
      <w:r>
        <w:rPr>
          <w:color w:val="231F20"/>
          <w:spacing w:val="-3"/>
        </w:rPr>
        <w:t> </w:t>
      </w:r>
      <w:r>
        <w:rPr>
          <w:color w:val="231F20"/>
        </w:rPr>
        <w:t>Dr.</w:t>
      </w:r>
    </w:p>
    <w:p>
      <w:pPr>
        <w:pStyle w:val="BodyText"/>
        <w:spacing w:line="187" w:lineRule="auto"/>
        <w:ind w:left="140" w:right="38"/>
      </w:pPr>
      <w:r>
        <w:rPr>
          <w:color w:val="231F20"/>
        </w:rPr>
        <w:t>Houtenville received his Ph.D. in Economics from the University  of New Hampshire in 1997 and was a National Institute on Aging Post-Doctoral Fellow at Syracuse University in 1998/1999. He was also a Senior Research Associate at Cornell University and New Editions Consulting in McLean,</w:t>
      </w:r>
      <w:r>
        <w:rPr>
          <w:color w:val="231F20"/>
          <w:spacing w:val="-3"/>
        </w:rPr>
        <w:t> </w:t>
      </w:r>
      <w:r>
        <w:rPr>
          <w:color w:val="231F20"/>
        </w:rPr>
        <w:t>Virginia.</w:t>
      </w:r>
    </w:p>
    <w:p>
      <w:pPr>
        <w:pStyle w:val="Heading2"/>
        <w:spacing w:line="216" w:lineRule="auto" w:before="96"/>
        <w:ind w:right="2050"/>
      </w:pPr>
      <w:r>
        <w:rPr>
          <w:b w:val="0"/>
        </w:rPr>
        <w:br w:type="column"/>
      </w:r>
      <w:r>
        <w:rPr>
          <w:color w:val="231F20"/>
        </w:rPr>
        <w:t>Kimberly Phillips, PhD Project Director, UNH-IOD</w:t>
      </w:r>
    </w:p>
    <w:p>
      <w:pPr>
        <w:pStyle w:val="BodyText"/>
        <w:spacing w:line="187" w:lineRule="auto" w:before="171"/>
        <w:ind w:left="1670" w:right="689"/>
      </w:pPr>
      <w:r>
        <w:rPr/>
        <w:drawing>
          <wp:anchor distT="0" distB="0" distL="0" distR="0" allowOverlap="1" layoutInCell="1" locked="0" behindDoc="0" simplePos="0" relativeHeight="251675648">
            <wp:simplePos x="0" y="0"/>
            <wp:positionH relativeFrom="page">
              <wp:posOffset>4001008</wp:posOffset>
            </wp:positionH>
            <wp:positionV relativeFrom="paragraph">
              <wp:posOffset>-257171</wp:posOffset>
            </wp:positionV>
            <wp:extent cx="914400" cy="1143000"/>
            <wp:effectExtent l="0" t="0" r="0" b="0"/>
            <wp:wrapNone/>
            <wp:docPr id="9" name="image12.jpeg"/>
            <wp:cNvGraphicFramePr>
              <a:graphicFrameLocks noChangeAspect="1"/>
            </wp:cNvGraphicFramePr>
            <a:graphic>
              <a:graphicData uri="http://schemas.openxmlformats.org/drawingml/2006/picture">
                <pic:pic>
                  <pic:nvPicPr>
                    <pic:cNvPr id="10" name="image12.jpeg"/>
                    <pic:cNvPicPr/>
                  </pic:nvPicPr>
                  <pic:blipFill>
                    <a:blip r:embed="rId16" cstate="print"/>
                    <a:stretch>
                      <a:fillRect/>
                    </a:stretch>
                  </pic:blipFill>
                  <pic:spPr>
                    <a:xfrm>
                      <a:off x="0" y="0"/>
                      <a:ext cx="914400" cy="1143000"/>
                    </a:xfrm>
                    <a:prstGeom prst="rect">
                      <a:avLst/>
                    </a:prstGeom>
                  </pic:spPr>
                </pic:pic>
              </a:graphicData>
            </a:graphic>
          </wp:anchor>
        </w:drawing>
      </w:r>
      <w:r>
        <w:rPr>
          <w:color w:val="231F20"/>
        </w:rPr>
        <w:t>Dr. Kimberly Phillips is a Research Assistant Professor at the UNH Institute on Disability where she conducts grant-funded research related to disability and  employment, disability and public health, and rehabilitation psychology. In addition to her work on the Kessler Foundation National Employment and Disability</w:t>
      </w:r>
      <w:r>
        <w:rPr>
          <w:color w:val="231F20"/>
          <w:spacing w:val="19"/>
        </w:rPr>
        <w:t> </w:t>
      </w:r>
      <w:r>
        <w:rPr>
          <w:color w:val="231F20"/>
        </w:rPr>
        <w:t>Surveys,</w:t>
      </w:r>
      <w:r>
        <w:rPr>
          <w:color w:val="231F20"/>
          <w:spacing w:val="20"/>
        </w:rPr>
        <w:t> </w:t>
      </w:r>
      <w:r>
        <w:rPr>
          <w:color w:val="231F20"/>
        </w:rPr>
        <w:t>she</w:t>
      </w:r>
      <w:r>
        <w:rPr>
          <w:color w:val="231F20"/>
          <w:spacing w:val="19"/>
        </w:rPr>
        <w:t> </w:t>
      </w:r>
      <w:r>
        <w:rPr>
          <w:color w:val="231F20"/>
        </w:rPr>
        <w:t>currently</w:t>
      </w:r>
      <w:r>
        <w:rPr>
          <w:color w:val="231F20"/>
          <w:spacing w:val="20"/>
        </w:rPr>
        <w:t> </w:t>
      </w:r>
      <w:r>
        <w:rPr>
          <w:color w:val="231F20"/>
        </w:rPr>
        <w:t>serves</w:t>
      </w:r>
      <w:r>
        <w:rPr>
          <w:color w:val="231F20"/>
          <w:spacing w:val="20"/>
        </w:rPr>
        <w:t> </w:t>
      </w:r>
      <w:r>
        <w:rPr>
          <w:color w:val="231F20"/>
        </w:rPr>
        <w:t>as</w:t>
      </w:r>
      <w:r>
        <w:rPr>
          <w:color w:val="231F20"/>
          <w:spacing w:val="19"/>
        </w:rPr>
        <w:t> </w:t>
      </w:r>
      <w:r>
        <w:rPr>
          <w:color w:val="231F20"/>
        </w:rPr>
        <w:t>Co-</w:t>
      </w:r>
    </w:p>
    <w:p>
      <w:pPr>
        <w:pStyle w:val="BodyText"/>
        <w:spacing w:line="187" w:lineRule="auto"/>
        <w:ind w:left="140" w:right="688"/>
      </w:pPr>
      <w:r>
        <w:rPr>
          <w:color w:val="231F20"/>
        </w:rPr>
        <w:t>Principal Investigator of the Disability Statistics and Demographics Rehabilitation Research and Training Center and Principal Investigator of the CDC-funded New Hampshire Disability &amp; Public Health Project. She has been conducting research at UNH for the past 11 years.</w:t>
      </w:r>
    </w:p>
    <w:sectPr>
      <w:type w:val="continuous"/>
      <w:pgSz w:w="12240" w:h="15840"/>
      <w:pgMar w:top="720" w:bottom="0" w:left="580" w:right="0"/>
      <w:cols w:num="2" w:equalWidth="0">
        <w:col w:w="5402" w:space="179"/>
        <w:col w:w="607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Neue">
    <w:altName w:val="Helvetica Neue"/>
    <w:charset w:val="0"/>
    <w:family w:val="swiss"/>
    <w:pitch w:val="variable"/>
  </w:font>
  <w:font w:name="Open Sans">
    <w:altName w:val="Open San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Open Sans" w:hAnsi="Open Sans" w:eastAsia="Open Sans" w:cs="Open Sans"/>
      <w:lang w:val="en-us" w:eastAsia="en-us" w:bidi="en-us"/>
    </w:rPr>
  </w:style>
  <w:style w:styleId="BodyText" w:type="paragraph">
    <w:name w:val="Body Text"/>
    <w:basedOn w:val="Normal"/>
    <w:uiPriority w:val="1"/>
    <w:qFormat/>
    <w:pPr>
      <w:jc w:val="both"/>
    </w:pPr>
    <w:rPr>
      <w:rFonts w:ascii="Open Sans" w:hAnsi="Open Sans" w:eastAsia="Open Sans" w:cs="Open Sans"/>
      <w:sz w:val="17"/>
      <w:szCs w:val="17"/>
      <w:lang w:val="en-us" w:eastAsia="en-us" w:bidi="en-us"/>
    </w:rPr>
  </w:style>
  <w:style w:styleId="Heading1" w:type="paragraph">
    <w:name w:val="Heading 1"/>
    <w:basedOn w:val="Normal"/>
    <w:uiPriority w:val="1"/>
    <w:qFormat/>
    <w:pPr>
      <w:spacing w:before="100"/>
      <w:ind w:left="118"/>
      <w:outlineLvl w:val="1"/>
    </w:pPr>
    <w:rPr>
      <w:rFonts w:ascii="Open Sans" w:hAnsi="Open Sans" w:eastAsia="Open Sans" w:cs="Open Sans"/>
      <w:b/>
      <w:bCs/>
      <w:sz w:val="25"/>
      <w:szCs w:val="25"/>
      <w:u w:val="single" w:color="000000"/>
      <w:lang w:val="en-us" w:eastAsia="en-us" w:bidi="en-us"/>
    </w:rPr>
  </w:style>
  <w:style w:styleId="Heading2" w:type="paragraph">
    <w:name w:val="Heading 2"/>
    <w:basedOn w:val="Normal"/>
    <w:uiPriority w:val="1"/>
    <w:qFormat/>
    <w:pPr>
      <w:ind w:left="1670"/>
      <w:outlineLvl w:val="2"/>
    </w:pPr>
    <w:rPr>
      <w:rFonts w:ascii="Open Sans" w:hAnsi="Open Sans" w:eastAsia="Open Sans" w:cs="Open Sans"/>
      <w:b/>
      <w:bCs/>
      <w:sz w:val="18"/>
      <w:szCs w:val="1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jpeg"/><Relationship Id="rId16"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2020-05-27T20:05:37Z</dcterms:created>
  <dcterms:modified xsi:type="dcterms:W3CDTF">2020-05-27T20:05:37Z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Adobe InDesign 14.0 (Macintosh)</vt:lpwstr>
  </property>
  <property fmtid="{D5CDD505-2E9C-101B-9397-08002B2CF9AE}" pid="4" name="LastSaved">
    <vt:filetime>2020-05-27T00:00:00Z</vt:filetime>
  </property>
</Properties>
</file>